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1584"/>
          <w:tab w:val="center" w:pos="3863"/>
          <w:tab w:val="center" w:pos="4583"/>
          <w:tab w:val="center" w:pos="5303"/>
          <w:tab w:val="center" w:pos="7071"/>
        </w:tabs>
        <w:spacing w:line="360" w:lineRule="auto"/>
        <w:ind w:left="0" w:right="0" w:firstLine="0"/>
        <w:jc w:val="center"/>
        <w:rPr>
          <w:b/>
          <w:bCs/>
          <w:u w:val="single"/>
        </w:rPr>
      </w:pPr>
      <w:bookmarkStart w:id="0" w:name="_GoBack"/>
      <w:r>
        <w:rPr>
          <w:b/>
          <w:bCs/>
          <w:u w:val="single"/>
        </w:rPr>
        <w:t>ΑΝΑΚΟΙΝΩΣΗ ΑΠΟΦΑΣΗΣ ΓΕΝΙΚΗΣ ΣΥΝΕΛΕΥΣΗΣ -</w:t>
      </w:r>
    </w:p>
    <w:p>
      <w:pPr>
        <w:tabs>
          <w:tab w:val="center" w:pos="1584"/>
          <w:tab w:val="center" w:pos="3863"/>
          <w:tab w:val="center" w:pos="4583"/>
          <w:tab w:val="center" w:pos="5303"/>
          <w:tab w:val="center" w:pos="7071"/>
        </w:tabs>
        <w:spacing w:line="360" w:lineRule="auto"/>
        <w:ind w:left="0" w:right="0" w:firstLine="0"/>
        <w:jc w:val="center"/>
        <w:rPr>
          <w:b/>
          <w:bCs/>
          <w:u w:val="single"/>
        </w:rPr>
      </w:pPr>
      <w:r>
        <w:rPr>
          <w:b/>
          <w:bCs/>
          <w:u w:val="single"/>
        </w:rPr>
        <w:t>ΠΛΑΙΣΙΟ ΧΟΡΗΓΗΣΗΣ ΑΔΕΙΩΝ</w:t>
      </w:r>
    </w:p>
    <w:bookmarkEnd w:id="0"/>
    <w:p>
      <w:pPr>
        <w:tabs>
          <w:tab w:val="center" w:pos="1584"/>
          <w:tab w:val="center" w:pos="3863"/>
          <w:tab w:val="center" w:pos="4583"/>
          <w:tab w:val="center" w:pos="5303"/>
          <w:tab w:val="center" w:pos="7071"/>
        </w:tabs>
        <w:spacing w:line="360" w:lineRule="auto"/>
        <w:ind w:left="0" w:right="0" w:firstLine="567"/>
        <w:rPr>
          <w:b/>
          <w:bCs/>
          <w:u w:val="single"/>
        </w:rPr>
      </w:pPr>
      <w:r>
        <w:t xml:space="preserve">H Γενική Συνέλευση του Δικηγορικού Συλλόγου Χανίων, κατά τη συνεδρίαση της 1-4-2024, σε ένδειξη διαμαρτυρίας για την προωθούμενη αναμόρφωση του Δικαστικού Χάρτη, για την ψήφιση του νέου ΠΚ και ΚΠΔ, για τις καθυστερήσεις πληρωμών των Δικηγόρων στις υποθέσεις νομικής βοήθειας, για τις πρακτικές των </w:t>
      </w:r>
      <w:r>
        <w:rPr>
          <w:lang w:val="en-US"/>
        </w:rPr>
        <w:t>funds</w:t>
      </w:r>
      <w:r>
        <w:t xml:space="preserve"> και Πιστωτικών Ιδρυμάτων και για το ήδη ψηφισθέν φορολογικό νομοσχέδιο,  αποφάσισε </w:t>
      </w:r>
      <w:r>
        <w:rPr>
          <w:b/>
          <w:bCs/>
          <w:u w:val="single"/>
        </w:rPr>
        <w:t xml:space="preserve">τη συνέχιση της αποχής των μελών του Δ.Σ.Χ για το διάστημα από 3-4-2024 μέχρι και την 30-4-2024. </w:t>
      </w:r>
    </w:p>
    <w:p>
      <w:pPr>
        <w:tabs>
          <w:tab w:val="center" w:pos="1584"/>
          <w:tab w:val="center" w:pos="3863"/>
          <w:tab w:val="center" w:pos="4583"/>
          <w:tab w:val="center" w:pos="5303"/>
          <w:tab w:val="center" w:pos="7071"/>
        </w:tabs>
        <w:spacing w:line="360" w:lineRule="auto"/>
        <w:ind w:left="0" w:right="0" w:firstLine="567"/>
        <w:rPr>
          <w:b/>
          <w:bCs/>
          <w:u w:val="single"/>
        </w:rPr>
      </w:pPr>
      <w:r>
        <w:rPr>
          <w:b/>
          <w:bCs/>
          <w:u w:val="single"/>
        </w:rPr>
        <w:t xml:space="preserve">Συγκεκριμένα αποφασίστηκε: </w:t>
      </w:r>
    </w:p>
    <w:p>
      <w:pPr>
        <w:tabs>
          <w:tab w:val="center" w:pos="1584"/>
          <w:tab w:val="center" w:pos="3863"/>
          <w:tab w:val="center" w:pos="4583"/>
          <w:tab w:val="center" w:pos="5303"/>
          <w:tab w:val="center" w:pos="7071"/>
        </w:tabs>
        <w:spacing w:line="360" w:lineRule="auto"/>
        <w:ind w:left="0" w:right="0" w:firstLine="567"/>
      </w:pPr>
      <w:r>
        <w:rPr>
          <w:b/>
          <w:bCs/>
        </w:rPr>
        <w:t xml:space="preserve">1. </w:t>
      </w:r>
      <w:r>
        <w:t>Η συνέχιση της αποχής των μελών μας από όλα τα ακροατήρια Ποινικών Δικαστηρίων. Εξαιρούνται οι κατωτέρω υποθέσεις:</w:t>
      </w:r>
    </w:p>
    <w:p>
      <w:pPr>
        <w:tabs>
          <w:tab w:val="center" w:pos="1584"/>
          <w:tab w:val="center" w:pos="3863"/>
          <w:tab w:val="center" w:pos="4583"/>
          <w:tab w:val="center" w:pos="5303"/>
          <w:tab w:val="center" w:pos="7071"/>
        </w:tabs>
        <w:spacing w:line="360" w:lineRule="auto"/>
        <w:ind w:left="0" w:right="0" w:firstLine="567"/>
      </w:pPr>
      <w:r>
        <w:t xml:space="preserve">α) στα πλημμελήματα συμπληρωμένα έξι (6) έτη στον α’ και επτά (7) έτη στον β’ βαθμό και στα κακουργήματα συμπληρωμένα δεκαπέντε (15) έτη στον α΄ βαθμό και δεκαοκτώ (18) έτη στο β’ βαθμό. </w:t>
      </w:r>
    </w:p>
    <w:p>
      <w:pPr>
        <w:tabs>
          <w:tab w:val="center" w:pos="1584"/>
          <w:tab w:val="center" w:pos="3863"/>
          <w:tab w:val="center" w:pos="4583"/>
          <w:tab w:val="center" w:pos="5303"/>
          <w:tab w:val="center" w:pos="7071"/>
        </w:tabs>
        <w:spacing w:line="360" w:lineRule="auto"/>
        <w:ind w:left="0" w:right="0" w:firstLine="567"/>
      </w:pPr>
      <w:r>
        <w:t xml:space="preserve">β) Σε ποινικές δίκες β’ βαθμού με κρατούμενο, συνεπεία πρωτοβάθμιας καταδικαστικής απόφασης. </w:t>
      </w:r>
    </w:p>
    <w:p>
      <w:pPr>
        <w:tabs>
          <w:tab w:val="center" w:pos="1584"/>
          <w:tab w:val="center" w:pos="3863"/>
          <w:tab w:val="center" w:pos="4583"/>
          <w:tab w:val="center" w:pos="5303"/>
          <w:tab w:val="center" w:pos="7071"/>
        </w:tabs>
        <w:spacing w:line="360" w:lineRule="auto"/>
        <w:ind w:left="0" w:right="0" w:firstLine="567"/>
      </w:pPr>
      <w:r>
        <w:t xml:space="preserve">γ) Σε περιπτώσεις προσωρινά κρατουμένων, ενόψει της συμπλήρωσης προσωρινής κράτησης. </w:t>
      </w:r>
    </w:p>
    <w:p>
      <w:pPr>
        <w:tabs>
          <w:tab w:val="center" w:pos="1584"/>
          <w:tab w:val="center" w:pos="3863"/>
          <w:tab w:val="center" w:pos="4583"/>
          <w:tab w:val="center" w:pos="5303"/>
          <w:tab w:val="center" w:pos="7071"/>
        </w:tabs>
        <w:spacing w:line="360" w:lineRule="auto"/>
        <w:ind w:left="0" w:right="0" w:firstLine="567"/>
      </w:pPr>
      <w:r>
        <w:t>δ) Σε αυτόφωρα και συνοδείες.</w:t>
      </w:r>
    </w:p>
    <w:p>
      <w:pPr>
        <w:tabs>
          <w:tab w:val="center" w:pos="1584"/>
          <w:tab w:val="center" w:pos="3863"/>
          <w:tab w:val="center" w:pos="4583"/>
          <w:tab w:val="center" w:pos="5303"/>
          <w:tab w:val="center" w:pos="7071"/>
        </w:tabs>
        <w:spacing w:line="360" w:lineRule="auto"/>
        <w:ind w:left="0" w:right="0" w:firstLine="567"/>
      </w:pPr>
      <w:r>
        <w:rPr>
          <w:b/>
          <w:bCs/>
        </w:rPr>
        <w:t>2.</w:t>
      </w:r>
      <w:r>
        <w:t xml:space="preserve"> Η συνέχιση της αποχής μας από δίκες συμφερόντων του Ελληνικού Δημοσίου, ΝΠΔΔ, πλην ΟΤΑ.</w:t>
      </w:r>
    </w:p>
    <w:p>
      <w:pPr>
        <w:tabs>
          <w:tab w:val="center" w:pos="1584"/>
          <w:tab w:val="center" w:pos="3863"/>
          <w:tab w:val="center" w:pos="4583"/>
          <w:tab w:val="center" w:pos="5303"/>
          <w:tab w:val="center" w:pos="7071"/>
        </w:tabs>
        <w:spacing w:line="360" w:lineRule="auto"/>
        <w:ind w:left="0" w:right="0" w:firstLine="567"/>
      </w:pPr>
      <w:r>
        <w:rPr>
          <w:b/>
          <w:bCs/>
        </w:rPr>
        <w:t>3.</w:t>
      </w:r>
      <w:r>
        <w:t xml:space="preserve"> Η αποχή των μελών μας από την έκδοση διαταγών πληρωμής από δάνεια με αιτούσες Τράπεζες και εταιρείες διαχείρισης απαιτήσεων καθώς επίσης και από εντολές για πράξεις εκτέλεσης πιστωτικών ιδρυμάτων και fund</w:t>
      </w:r>
      <w:r>
        <w:rPr>
          <w:lang w:val="en-US"/>
        </w:rPr>
        <w:t>s</w:t>
      </w:r>
      <w:r>
        <w:t xml:space="preserve">. </w:t>
      </w:r>
    </w:p>
    <w:p>
      <w:pPr>
        <w:tabs>
          <w:tab w:val="center" w:pos="1584"/>
          <w:tab w:val="center" w:pos="3863"/>
          <w:tab w:val="center" w:pos="4583"/>
          <w:tab w:val="center" w:pos="5303"/>
          <w:tab w:val="center" w:pos="7071"/>
        </w:tabs>
        <w:spacing w:line="360" w:lineRule="auto"/>
        <w:ind w:left="0" w:right="0" w:firstLine="567"/>
      </w:pPr>
      <w:r>
        <w:rPr>
          <w:b/>
          <w:bCs/>
        </w:rPr>
        <w:t>4.</w:t>
      </w:r>
      <w:r>
        <w:t xml:space="preserve"> Η αποχή των μελών μας από την παράσταση στα αστικά ακροατήρια μόνο όταν διάδικος είναι τράπεζα ή πιστωτικό ίδρυμα ή εταιρεία διαχείρισης απαιτήσεων και </w:t>
      </w:r>
      <w:r>
        <w:rPr>
          <w:lang w:val="en-US"/>
        </w:rPr>
        <w:t>fund</w:t>
      </w:r>
      <w:r>
        <w:t>.</w:t>
      </w:r>
    </w:p>
    <w:p>
      <w:pPr>
        <w:tabs>
          <w:tab w:val="center" w:pos="1584"/>
          <w:tab w:val="center" w:pos="3863"/>
          <w:tab w:val="center" w:pos="4583"/>
          <w:tab w:val="center" w:pos="5303"/>
          <w:tab w:val="center" w:pos="7071"/>
        </w:tabs>
        <w:spacing w:line="360" w:lineRule="auto"/>
        <w:ind w:left="0" w:right="0" w:firstLine="567"/>
      </w:pPr>
      <w:r>
        <w:rPr>
          <w:b/>
          <w:bCs/>
        </w:rPr>
        <w:t>5.</w:t>
      </w:r>
      <w:r>
        <w:t xml:space="preserve"> Η αποχή των μελών μας από υποθέσεις Νομικής Βοήθειας και δη τόσο από την κατάθεση δικογράφων με το ευεργέτημα της ΝΒ, όσο και από την παράσταση ενώπιον όλων των Δικαστηρίων, αστικών, ποινικών, διοικητικών.</w:t>
      </w:r>
    </w:p>
    <w:p>
      <w:pPr>
        <w:tabs>
          <w:tab w:val="center" w:pos="1584"/>
          <w:tab w:val="center" w:pos="3863"/>
          <w:tab w:val="center" w:pos="4583"/>
          <w:tab w:val="center" w:pos="5303"/>
          <w:tab w:val="center" w:pos="7071"/>
        </w:tabs>
        <w:spacing w:line="360" w:lineRule="auto"/>
        <w:ind w:left="0" w:right="0" w:firstLine="0"/>
        <w:jc w:val="center"/>
        <w:rPr>
          <w:b/>
          <w:bCs/>
          <w:u w:val="single"/>
        </w:rPr>
      </w:pPr>
    </w:p>
    <w:p>
      <w:pPr>
        <w:tabs>
          <w:tab w:val="center" w:pos="1584"/>
          <w:tab w:val="center" w:pos="3863"/>
          <w:tab w:val="center" w:pos="4583"/>
          <w:tab w:val="center" w:pos="5303"/>
          <w:tab w:val="center" w:pos="7071"/>
        </w:tabs>
        <w:spacing w:line="360" w:lineRule="auto"/>
        <w:ind w:left="0" w:right="0" w:firstLine="0"/>
        <w:jc w:val="center"/>
        <w:rPr>
          <w:u w:val="single"/>
        </w:rPr>
      </w:pPr>
      <w:r>
        <w:rPr>
          <w:b/>
          <w:bCs/>
          <w:u w:val="single"/>
        </w:rPr>
        <w:t xml:space="preserve">Επιτρέπονται - χωρίς να απαιτείται να χορηγηθεί άδεια: </w:t>
      </w:r>
    </w:p>
    <w:p>
      <w:pPr>
        <w:tabs>
          <w:tab w:val="center" w:pos="1584"/>
          <w:tab w:val="center" w:pos="3863"/>
          <w:tab w:val="center" w:pos="4583"/>
          <w:tab w:val="center" w:pos="5303"/>
          <w:tab w:val="center" w:pos="7071"/>
        </w:tabs>
        <w:spacing w:line="360" w:lineRule="auto"/>
        <w:ind w:left="0" w:right="0" w:firstLine="567"/>
      </w:pPr>
      <w:r>
        <w:tab/>
      </w:r>
      <w:r>
        <w:rPr>
          <w:b/>
          <w:bCs/>
        </w:rPr>
        <w:t>α.</w:t>
      </w:r>
      <w:r>
        <w:t xml:space="preserve"> οι καταθέσεις εισαγωγικών δικογράφων/ενδίκων βοηθημάτων/ενδίκων μέσων σε όλες τις διαδικασίες, συμπεριλαμβανομένων αιτήσεων, αγωγών και κλήσεων - πλην των υποθέσεων της Νομικής Βοήθειας. </w:t>
      </w:r>
    </w:p>
    <w:p>
      <w:pPr>
        <w:tabs>
          <w:tab w:val="center" w:pos="1584"/>
          <w:tab w:val="center" w:pos="3863"/>
          <w:tab w:val="center" w:pos="4583"/>
          <w:tab w:val="center" w:pos="5303"/>
          <w:tab w:val="center" w:pos="7071"/>
        </w:tabs>
        <w:spacing w:line="360" w:lineRule="auto"/>
        <w:ind w:left="0" w:right="0" w:firstLine="567"/>
      </w:pPr>
      <w:r>
        <w:rPr>
          <w:b/>
          <w:bCs/>
        </w:rPr>
        <w:t>β.</w:t>
      </w:r>
      <w:r>
        <w:t xml:space="preserve"> η κατάθεση προτάσεων, προσθηκών – αντικρούσεων στη Νέα Τακτική Διαδικασία καθώς και στη διαδικασία Μικροδιαφορών. </w:t>
      </w:r>
    </w:p>
    <w:p>
      <w:pPr>
        <w:tabs>
          <w:tab w:val="center" w:pos="1584"/>
          <w:tab w:val="center" w:pos="3863"/>
          <w:tab w:val="center" w:pos="4583"/>
          <w:tab w:val="center" w:pos="5303"/>
          <w:tab w:val="center" w:pos="7071"/>
        </w:tabs>
        <w:spacing w:line="360" w:lineRule="auto"/>
        <w:ind w:left="0" w:right="0" w:firstLine="567"/>
      </w:pPr>
      <w:r>
        <w:rPr>
          <w:b/>
          <w:bCs/>
        </w:rPr>
        <w:t>γ.</w:t>
      </w:r>
      <w:r>
        <w:t xml:space="preserve"> η κατάθεση αιτήσεων προς επικύρωση πρακτικών συμβιβασμού και η παράσταση ενώπιον του Δικαστηρίου κατά την επικύρωση των πρακτικών αυτών (άρθρα 209 του ΚΠολΔ και 214ΑΚπολΔ). </w:t>
      </w:r>
    </w:p>
    <w:p>
      <w:pPr>
        <w:tabs>
          <w:tab w:val="center" w:pos="1584"/>
          <w:tab w:val="center" w:pos="3863"/>
          <w:tab w:val="center" w:pos="4583"/>
          <w:tab w:val="center" w:pos="5303"/>
          <w:tab w:val="center" w:pos="7071"/>
        </w:tabs>
        <w:spacing w:line="360" w:lineRule="auto"/>
        <w:ind w:left="0" w:right="0" w:firstLine="567"/>
      </w:pPr>
      <w:r>
        <w:rPr>
          <w:b/>
          <w:bCs/>
        </w:rPr>
        <w:t>δ.</w:t>
      </w:r>
      <w:r>
        <w:t xml:space="preserve"> η λήψη ενόρκων βεβαιώσεων για όλες τις διαδικασίες καθώς και η παράσταση κατά τη λήψη τους. </w:t>
      </w:r>
    </w:p>
    <w:p>
      <w:pPr>
        <w:tabs>
          <w:tab w:val="center" w:pos="1584"/>
          <w:tab w:val="center" w:pos="3863"/>
          <w:tab w:val="center" w:pos="4583"/>
          <w:tab w:val="center" w:pos="5303"/>
          <w:tab w:val="center" w:pos="7071"/>
        </w:tabs>
        <w:spacing w:line="360" w:lineRule="auto"/>
        <w:ind w:left="0" w:right="0" w:firstLine="567"/>
      </w:pPr>
      <w:r>
        <w:rPr>
          <w:b/>
          <w:bCs/>
        </w:rPr>
        <w:t>ε.</w:t>
      </w:r>
      <w:r>
        <w:t xml:space="preserve"> Η παράσταση για εγγραφή και εξάλειψη προσημειώσεων υποθήκης ενώπιον όλων των Δικαστηρίων και με όλες τις διαδικασίες (συναινετικά ή κατ’αντιδικία).</w:t>
      </w:r>
    </w:p>
    <w:p>
      <w:pPr>
        <w:tabs>
          <w:tab w:val="center" w:pos="1584"/>
          <w:tab w:val="center" w:pos="3863"/>
          <w:tab w:val="center" w:pos="4583"/>
          <w:tab w:val="center" w:pos="5303"/>
          <w:tab w:val="center" w:pos="7071"/>
        </w:tabs>
        <w:spacing w:line="360" w:lineRule="auto"/>
        <w:ind w:left="0" w:right="0" w:firstLine="567"/>
      </w:pPr>
      <w:r>
        <w:rPr>
          <w:b/>
          <w:bCs/>
        </w:rPr>
        <w:t>στ.</w:t>
      </w:r>
      <w:r>
        <w:t xml:space="preserve"> η επίδοση αποφάσεων, δικογράφων και εξωδίκων και εντολών προς εκτέλεση (εφόσον δεν προέρχονται από τράπεζες ή </w:t>
      </w:r>
      <w:r>
        <w:rPr>
          <w:lang w:val="en-US"/>
        </w:rPr>
        <w:t>funds</w:t>
      </w:r>
      <w:r>
        <w:t>)</w:t>
      </w:r>
    </w:p>
    <w:p>
      <w:pPr>
        <w:tabs>
          <w:tab w:val="center" w:pos="1584"/>
          <w:tab w:val="center" w:pos="3863"/>
          <w:tab w:val="center" w:pos="4583"/>
          <w:tab w:val="center" w:pos="5303"/>
          <w:tab w:val="center" w:pos="7071"/>
        </w:tabs>
        <w:spacing w:line="360" w:lineRule="auto"/>
        <w:ind w:left="0" w:right="0" w:firstLine="567"/>
      </w:pPr>
      <w:r>
        <w:rPr>
          <w:b/>
          <w:bCs/>
        </w:rPr>
        <w:t>ζ.</w:t>
      </w:r>
      <w:r>
        <w:t xml:space="preserve"> η συμμετοχή των δικηγόρων ως μελών σε επιτροπές Δημοσίου (πχ Δασικά) καθώς και η παράσταση Δικηγόρων ενώπιον των Επιτροπών αυτών προς υποστήριξη των συμφερόντων των εντολέων τους, καθώς και ενώπιον άλλων αρχών και φορέων πλην των Δικαστηρίων- κατά τα ως άνω. </w:t>
      </w:r>
    </w:p>
    <w:p>
      <w:pPr>
        <w:tabs>
          <w:tab w:val="center" w:pos="1584"/>
          <w:tab w:val="center" w:pos="3863"/>
          <w:tab w:val="center" w:pos="4583"/>
          <w:tab w:val="center" w:pos="5303"/>
          <w:tab w:val="center" w:pos="7071"/>
        </w:tabs>
        <w:spacing w:line="360" w:lineRule="auto"/>
        <w:ind w:left="0" w:right="0" w:firstLine="567"/>
      </w:pPr>
      <w:r>
        <w:rPr>
          <w:b/>
          <w:bCs/>
        </w:rPr>
        <w:t>η.</w:t>
      </w:r>
      <w:r>
        <w:t xml:space="preserve"> η παράσταση των δικηγόρων σε συμβολαιογραφικές πράξεις, που συμπεριλαμβάνει τα συναινετικά διαζύγια αλλά και την εκπροσώπηση των εντολέων τους ως πληρεξούσιοι. </w:t>
      </w:r>
    </w:p>
    <w:p>
      <w:pPr>
        <w:tabs>
          <w:tab w:val="center" w:pos="1584"/>
          <w:tab w:val="center" w:pos="3863"/>
          <w:tab w:val="center" w:pos="4583"/>
          <w:tab w:val="center" w:pos="5303"/>
          <w:tab w:val="center" w:pos="7071"/>
        </w:tabs>
        <w:spacing w:line="360" w:lineRule="auto"/>
        <w:ind w:left="0" w:right="0" w:firstLine="567"/>
      </w:pPr>
      <w:r>
        <w:rPr>
          <w:b/>
          <w:bCs/>
        </w:rPr>
        <w:t>θ.</w:t>
      </w:r>
      <w:r>
        <w:t xml:space="preserve"> η παράσταση ενώπιον του Ανακριτή. </w:t>
      </w:r>
    </w:p>
    <w:p>
      <w:pPr>
        <w:tabs>
          <w:tab w:val="center" w:pos="1584"/>
          <w:tab w:val="center" w:pos="3863"/>
          <w:tab w:val="center" w:pos="4583"/>
          <w:tab w:val="center" w:pos="5303"/>
          <w:tab w:val="center" w:pos="7071"/>
        </w:tabs>
        <w:spacing w:line="360" w:lineRule="auto"/>
        <w:ind w:left="0" w:right="0" w:firstLine="567"/>
      </w:pPr>
      <w:r>
        <w:rPr>
          <w:b/>
          <w:bCs/>
        </w:rPr>
        <w:t>ι.</w:t>
      </w:r>
      <w:r>
        <w:t xml:space="preserve"> Όλες οι παραστάσεις στα αστικά ακροατήρια σε όλες τις διαδικασίες και στα ασφαλιστικά μέτρα και προσωρινές διαταγές, πλην των ανωτέρω ειδικότερων περιπτώσεων.</w:t>
      </w:r>
    </w:p>
    <w:p>
      <w:pPr>
        <w:tabs>
          <w:tab w:val="center" w:pos="1584"/>
          <w:tab w:val="center" w:pos="3863"/>
          <w:tab w:val="center" w:pos="4583"/>
          <w:tab w:val="center" w:pos="5303"/>
          <w:tab w:val="center" w:pos="7071"/>
        </w:tabs>
        <w:spacing w:line="360" w:lineRule="auto"/>
        <w:ind w:left="0" w:right="0" w:firstLine="0"/>
      </w:pPr>
      <w:r>
        <w:t xml:space="preserve"> </w:t>
      </w:r>
    </w:p>
    <w:p>
      <w:pPr>
        <w:tabs>
          <w:tab w:val="center" w:pos="1584"/>
          <w:tab w:val="center" w:pos="3863"/>
          <w:tab w:val="center" w:pos="4583"/>
          <w:tab w:val="center" w:pos="5303"/>
          <w:tab w:val="center" w:pos="7071"/>
        </w:tabs>
        <w:spacing w:line="480" w:lineRule="auto"/>
        <w:ind w:left="0" w:right="0" w:firstLine="0"/>
        <w:jc w:val="center"/>
        <w:rPr>
          <w:b/>
          <w:bCs/>
        </w:rPr>
      </w:pPr>
      <w:r>
        <w:rPr>
          <w:b/>
          <w:bCs/>
        </w:rPr>
        <w:t>Για το Διοικητικό Συμβούλιο</w:t>
      </w:r>
    </w:p>
    <w:p>
      <w:pPr>
        <w:tabs>
          <w:tab w:val="center" w:pos="1584"/>
          <w:tab w:val="center" w:pos="3863"/>
          <w:tab w:val="center" w:pos="4583"/>
          <w:tab w:val="center" w:pos="5303"/>
          <w:tab w:val="center" w:pos="7071"/>
        </w:tabs>
        <w:spacing w:line="480" w:lineRule="auto"/>
        <w:ind w:left="0" w:right="0" w:firstLine="0"/>
        <w:jc w:val="center"/>
        <w:rPr>
          <w:b/>
          <w:bCs/>
        </w:rPr>
      </w:pPr>
      <w:r>
        <w:rPr>
          <w:b/>
          <w:bCs/>
        </w:rPr>
        <w:t xml:space="preserve">Ο Πρόεδρος </w:t>
      </w:r>
      <w:r>
        <w:rPr>
          <w:b/>
          <w:bCs/>
        </w:rPr>
        <w:tab/>
      </w:r>
      <w:r>
        <w:rPr>
          <w:b/>
          <w:bCs/>
        </w:rPr>
        <w:tab/>
      </w:r>
      <w:r>
        <w:rPr>
          <w:b/>
          <w:bCs/>
        </w:rPr>
        <w:tab/>
      </w:r>
      <w:r>
        <w:rPr>
          <w:b/>
          <w:bCs/>
        </w:rPr>
        <w:tab/>
      </w:r>
      <w:r>
        <w:rPr>
          <w:b/>
          <w:bCs/>
        </w:rPr>
        <w:t xml:space="preserve">    Η Γενική Γραμματέας</w:t>
      </w:r>
    </w:p>
    <w:p>
      <w:pPr>
        <w:tabs>
          <w:tab w:val="center" w:pos="1584"/>
          <w:tab w:val="center" w:pos="3863"/>
          <w:tab w:val="center" w:pos="4583"/>
          <w:tab w:val="center" w:pos="5303"/>
          <w:tab w:val="center" w:pos="7071"/>
        </w:tabs>
        <w:spacing w:line="480" w:lineRule="auto"/>
        <w:ind w:left="0" w:right="0" w:firstLine="0"/>
        <w:rPr>
          <w:b/>
          <w:bCs/>
        </w:rPr>
      </w:pPr>
      <w:r>
        <w:rPr>
          <w:b/>
          <w:bCs/>
        </w:rPr>
        <w:t xml:space="preserve">Χρήστος Πραματευτάκης </w:t>
      </w:r>
      <w:r>
        <w:rPr>
          <w:b/>
          <w:bCs/>
        </w:rPr>
        <w:tab/>
      </w:r>
      <w:r>
        <w:rPr>
          <w:b/>
          <w:bCs/>
        </w:rPr>
        <w:tab/>
      </w:r>
      <w:r>
        <w:rPr>
          <w:b/>
          <w:bCs/>
        </w:rPr>
        <w:tab/>
      </w:r>
      <w:r>
        <w:rPr>
          <w:b/>
          <w:bCs/>
        </w:rPr>
        <w:t xml:space="preserve">              Μαρία Αγιασμενάκη</w:t>
      </w:r>
    </w:p>
    <w:sectPr>
      <w:pgSz w:w="11906" w:h="16838"/>
      <w:pgMar w:top="2211" w:right="1795" w:bottom="1418" w:left="1728"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ptos">
    <w:altName w:val="SimSun"/>
    <w:panose1 w:val="00000000000000000000"/>
    <w:charset w:val="86"/>
    <w:family w:val="swiss"/>
    <w:pitch w:val="default"/>
    <w:sig w:usb0="00000000" w:usb1="00000000" w:usb2="00000000" w:usb3="00000000" w:csb0="0000019F" w:csb1="00000000"/>
  </w:font>
  <w:font w:name="Calibri">
    <w:panose1 w:val="020F0502020204030204"/>
    <w:charset w:val="A1"/>
    <w:family w:val="swiss"/>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Aptos Display">
    <w:altName w:val="Segoe Print"/>
    <w:panose1 w:val="00000000000000000000"/>
    <w:charset w:val="00"/>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Apto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8" w:lineRule="auto"/>
      </w:pPr>
      <w:r>
        <w:separator/>
      </w:r>
    </w:p>
  </w:footnote>
  <w:footnote w:type="continuationSeparator" w:id="1">
    <w:p>
      <w:pPr>
        <w:spacing w:before="0" w:after="0" w:line="26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79"/>
    <w:rsid w:val="00073778"/>
    <w:rsid w:val="00155649"/>
    <w:rsid w:val="002A2D37"/>
    <w:rsid w:val="002B7368"/>
    <w:rsid w:val="003110EC"/>
    <w:rsid w:val="004367F6"/>
    <w:rsid w:val="004A1880"/>
    <w:rsid w:val="00567F26"/>
    <w:rsid w:val="00980006"/>
    <w:rsid w:val="009C0E79"/>
    <w:rsid w:val="00AA734B"/>
    <w:rsid w:val="00C81609"/>
    <w:rsid w:val="00C979E8"/>
    <w:rsid w:val="00CF4C77"/>
    <w:rsid w:val="00D20811"/>
    <w:rsid w:val="00E45104"/>
    <w:rsid w:val="00E45BEB"/>
    <w:rsid w:val="00FD38B6"/>
    <w:rsid w:val="23CA3FD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HAns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8" w:lineRule="auto"/>
      <w:ind w:left="10" w:right="3" w:hanging="10"/>
      <w:jc w:val="both"/>
    </w:pPr>
    <w:rPr>
      <w:rFonts w:ascii="Arial" w:hAnsi="Arial" w:eastAsia="Arial" w:cs="Arial"/>
      <w:color w:val="000000"/>
      <w:kern w:val="2"/>
      <w:sz w:val="24"/>
      <w:szCs w:val="24"/>
      <w:lang w:val="el-GR" w:eastAsia="el-GR" w:bidi="ar-SA"/>
      <w14:ligatures w14:val="standardContextual"/>
    </w:rPr>
  </w:style>
  <w:style w:type="paragraph" w:styleId="2">
    <w:name w:val="heading 1"/>
    <w:basedOn w:val="1"/>
    <w:next w:val="1"/>
    <w:link w:val="15"/>
    <w:qFormat/>
    <w:uiPriority w:val="9"/>
    <w:pPr>
      <w:keepNext/>
      <w:keepLines/>
      <w:spacing w:before="360" w:after="80" w:line="259" w:lineRule="auto"/>
      <w:ind w:left="0" w:right="0" w:firstLine="0"/>
      <w:jc w:val="left"/>
      <w:outlineLvl w:val="0"/>
    </w:pPr>
    <w:rPr>
      <w:rFonts w:asciiTheme="majorHAnsi" w:hAnsiTheme="majorHAnsi" w:eastAsiaTheme="majorEastAsia" w:cstheme="majorBidi"/>
      <w:b/>
      <w:color w:val="104862" w:themeColor="accent1" w:themeShade="BF"/>
      <w:sz w:val="40"/>
      <w:szCs w:val="40"/>
      <w:lang w:eastAsia="en-US"/>
    </w:rPr>
  </w:style>
  <w:style w:type="paragraph" w:styleId="3">
    <w:name w:val="heading 2"/>
    <w:basedOn w:val="1"/>
    <w:next w:val="1"/>
    <w:link w:val="16"/>
    <w:semiHidden/>
    <w:unhideWhenUsed/>
    <w:qFormat/>
    <w:uiPriority w:val="9"/>
    <w:pPr>
      <w:keepNext/>
      <w:keepLines/>
      <w:spacing w:before="160" w:after="80" w:line="259" w:lineRule="auto"/>
      <w:ind w:left="0" w:right="0" w:firstLine="0"/>
      <w:jc w:val="left"/>
      <w:outlineLvl w:val="1"/>
    </w:pPr>
    <w:rPr>
      <w:rFonts w:asciiTheme="majorHAnsi" w:hAnsiTheme="majorHAnsi" w:eastAsiaTheme="majorEastAsia" w:cstheme="majorBidi"/>
      <w:b/>
      <w:color w:val="104862" w:themeColor="accent1" w:themeShade="BF"/>
      <w:sz w:val="32"/>
      <w:szCs w:val="32"/>
      <w:lang w:eastAsia="en-US"/>
    </w:rPr>
  </w:style>
  <w:style w:type="paragraph" w:styleId="4">
    <w:name w:val="heading 3"/>
    <w:basedOn w:val="1"/>
    <w:next w:val="1"/>
    <w:link w:val="17"/>
    <w:semiHidden/>
    <w:unhideWhenUsed/>
    <w:qFormat/>
    <w:uiPriority w:val="9"/>
    <w:pPr>
      <w:keepNext/>
      <w:keepLines/>
      <w:spacing w:before="160" w:after="80" w:line="259" w:lineRule="auto"/>
      <w:ind w:left="0" w:right="0" w:firstLine="0"/>
      <w:jc w:val="left"/>
      <w:outlineLvl w:val="2"/>
    </w:pPr>
    <w:rPr>
      <w:rFonts w:asciiTheme="minorHAnsi" w:hAnsiTheme="minorHAnsi" w:eastAsiaTheme="majorEastAsia" w:cstheme="majorBidi"/>
      <w:b/>
      <w:color w:val="104862" w:themeColor="accent1" w:themeShade="BF"/>
      <w:sz w:val="28"/>
      <w:szCs w:val="28"/>
      <w:lang w:eastAsia="en-US"/>
    </w:rPr>
  </w:style>
  <w:style w:type="paragraph" w:styleId="5">
    <w:name w:val="heading 4"/>
    <w:basedOn w:val="1"/>
    <w:next w:val="1"/>
    <w:link w:val="18"/>
    <w:semiHidden/>
    <w:unhideWhenUsed/>
    <w:qFormat/>
    <w:uiPriority w:val="9"/>
    <w:pPr>
      <w:keepNext/>
      <w:keepLines/>
      <w:spacing w:before="80" w:after="40" w:line="259" w:lineRule="auto"/>
      <w:ind w:left="0" w:right="0" w:firstLine="0"/>
      <w:jc w:val="left"/>
      <w:outlineLvl w:val="3"/>
    </w:pPr>
    <w:rPr>
      <w:rFonts w:asciiTheme="minorHAnsi" w:hAnsiTheme="minorHAnsi" w:eastAsiaTheme="majorEastAsia" w:cstheme="majorBidi"/>
      <w:b/>
      <w:i/>
      <w:iCs/>
      <w:color w:val="104862" w:themeColor="accent1" w:themeShade="BF"/>
      <w:lang w:eastAsia="en-US"/>
    </w:rPr>
  </w:style>
  <w:style w:type="paragraph" w:styleId="6">
    <w:name w:val="heading 5"/>
    <w:basedOn w:val="1"/>
    <w:next w:val="1"/>
    <w:link w:val="19"/>
    <w:semiHidden/>
    <w:unhideWhenUsed/>
    <w:qFormat/>
    <w:uiPriority w:val="9"/>
    <w:pPr>
      <w:keepNext/>
      <w:keepLines/>
      <w:spacing w:before="80" w:after="40" w:line="259" w:lineRule="auto"/>
      <w:ind w:left="0" w:right="0" w:firstLine="0"/>
      <w:jc w:val="left"/>
      <w:outlineLvl w:val="4"/>
    </w:pPr>
    <w:rPr>
      <w:rFonts w:asciiTheme="minorHAnsi" w:hAnsiTheme="minorHAnsi" w:eastAsiaTheme="majorEastAsia" w:cstheme="majorBidi"/>
      <w:b/>
      <w:color w:val="104862" w:themeColor="accent1" w:themeShade="BF"/>
      <w:lang w:eastAsia="en-US"/>
    </w:rPr>
  </w:style>
  <w:style w:type="paragraph" w:styleId="7">
    <w:name w:val="heading 6"/>
    <w:basedOn w:val="1"/>
    <w:next w:val="1"/>
    <w:link w:val="20"/>
    <w:semiHidden/>
    <w:unhideWhenUsed/>
    <w:qFormat/>
    <w:uiPriority w:val="9"/>
    <w:pPr>
      <w:keepNext/>
      <w:keepLines/>
      <w:spacing w:before="40" w:after="0" w:line="259" w:lineRule="auto"/>
      <w:ind w:left="0" w:right="0" w:firstLine="0"/>
      <w:jc w:val="left"/>
      <w:outlineLvl w:val="5"/>
    </w:pPr>
    <w:rPr>
      <w:rFonts w:asciiTheme="minorHAnsi" w:hAnsiTheme="minorHAnsi" w:eastAsiaTheme="majorEastAsia" w:cstheme="majorBidi"/>
      <w:b/>
      <w:i/>
      <w:iCs/>
      <w:color w:val="595959" w:themeColor="text1" w:themeTint="A6"/>
      <w:lang w:eastAsia="en-US"/>
      <w14:textFill>
        <w14:solidFill>
          <w14:schemeClr w14:val="tx1">
            <w14:lumMod w14:val="65000"/>
            <w14:lumOff w14:val="35000"/>
          </w14:schemeClr>
        </w14:solidFill>
      </w14:textFill>
    </w:rPr>
  </w:style>
  <w:style w:type="paragraph" w:styleId="8">
    <w:name w:val="heading 7"/>
    <w:basedOn w:val="1"/>
    <w:next w:val="1"/>
    <w:link w:val="21"/>
    <w:semiHidden/>
    <w:unhideWhenUsed/>
    <w:qFormat/>
    <w:uiPriority w:val="9"/>
    <w:pPr>
      <w:keepNext/>
      <w:keepLines/>
      <w:spacing w:before="40" w:after="0" w:line="259" w:lineRule="auto"/>
      <w:ind w:left="0" w:right="0" w:firstLine="0"/>
      <w:jc w:val="left"/>
      <w:outlineLvl w:val="6"/>
    </w:pPr>
    <w:rPr>
      <w:rFonts w:asciiTheme="minorHAnsi" w:hAnsiTheme="minorHAnsi" w:eastAsiaTheme="majorEastAsia" w:cstheme="majorBidi"/>
      <w:b/>
      <w:color w:val="595959" w:themeColor="text1" w:themeTint="A6"/>
      <w:lang w:eastAsia="en-US"/>
      <w14:textFill>
        <w14:solidFill>
          <w14:schemeClr w14:val="tx1">
            <w14:lumMod w14:val="65000"/>
            <w14:lumOff w14:val="35000"/>
          </w14:schemeClr>
        </w14:solidFill>
      </w14:textFill>
    </w:rPr>
  </w:style>
  <w:style w:type="paragraph" w:styleId="9">
    <w:name w:val="heading 8"/>
    <w:basedOn w:val="1"/>
    <w:next w:val="1"/>
    <w:link w:val="22"/>
    <w:semiHidden/>
    <w:unhideWhenUsed/>
    <w:qFormat/>
    <w:uiPriority w:val="9"/>
    <w:pPr>
      <w:keepNext/>
      <w:keepLines/>
      <w:spacing w:after="0" w:line="259" w:lineRule="auto"/>
      <w:ind w:left="0" w:right="0" w:firstLine="0"/>
      <w:jc w:val="left"/>
      <w:outlineLvl w:val="7"/>
    </w:pPr>
    <w:rPr>
      <w:rFonts w:asciiTheme="minorHAnsi" w:hAnsiTheme="minorHAnsi" w:eastAsiaTheme="majorEastAsia" w:cstheme="majorBidi"/>
      <w:b/>
      <w:i/>
      <w:iCs/>
      <w:color w:val="262626" w:themeColor="text1" w:themeTint="D9"/>
      <w:lang w:eastAsia="en-US"/>
      <w14:textFill>
        <w14:solidFill>
          <w14:schemeClr w14:val="tx1">
            <w14:lumMod w14:val="85000"/>
            <w14:lumOff w14:val="15000"/>
          </w14:schemeClr>
        </w14:solidFill>
      </w14:textFill>
    </w:rPr>
  </w:style>
  <w:style w:type="paragraph" w:styleId="10">
    <w:name w:val="heading 9"/>
    <w:basedOn w:val="1"/>
    <w:next w:val="1"/>
    <w:link w:val="23"/>
    <w:semiHidden/>
    <w:unhideWhenUsed/>
    <w:qFormat/>
    <w:uiPriority w:val="9"/>
    <w:pPr>
      <w:keepNext/>
      <w:keepLines/>
      <w:spacing w:after="0" w:line="259" w:lineRule="auto"/>
      <w:ind w:left="0" w:right="0" w:firstLine="0"/>
      <w:jc w:val="left"/>
      <w:outlineLvl w:val="8"/>
    </w:pPr>
    <w:rPr>
      <w:rFonts w:asciiTheme="minorHAnsi" w:hAnsiTheme="minorHAnsi" w:eastAsiaTheme="majorEastAsia" w:cstheme="majorBidi"/>
      <w:b/>
      <w:color w:val="262626" w:themeColor="text1" w:themeTint="D9"/>
      <w:lang w:eastAsia="en-US"/>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Subtitle"/>
    <w:basedOn w:val="1"/>
    <w:next w:val="1"/>
    <w:link w:val="25"/>
    <w:qFormat/>
    <w:uiPriority w:val="11"/>
    <w:pPr>
      <w:spacing w:after="160" w:line="259" w:lineRule="auto"/>
      <w:ind w:left="10" w:right="0" w:hanging="10"/>
      <w:jc w:val="left"/>
    </w:pPr>
    <w:rPr>
      <w:rFonts w:asciiTheme="minorHAnsi" w:hAnsiTheme="minorHAnsi" w:eastAsiaTheme="majorEastAsia" w:cstheme="majorBidi"/>
      <w:b/>
      <w:color w:val="595959" w:themeColor="text1" w:themeTint="A6"/>
      <w:spacing w:val="15"/>
      <w:sz w:val="28"/>
      <w:szCs w:val="28"/>
      <w:lang w:eastAsia="en-US"/>
      <w14:textFill>
        <w14:solidFill>
          <w14:schemeClr w14:val="tx1">
            <w14:lumMod w14:val="65000"/>
            <w14:lumOff w14:val="35000"/>
          </w14:schemeClr>
        </w14:solidFill>
      </w14:textFill>
    </w:rPr>
  </w:style>
  <w:style w:type="paragraph" w:styleId="14">
    <w:name w:val="Title"/>
    <w:basedOn w:val="1"/>
    <w:next w:val="1"/>
    <w:link w:val="24"/>
    <w:qFormat/>
    <w:uiPriority w:val="10"/>
    <w:pPr>
      <w:spacing w:after="80" w:line="240" w:lineRule="auto"/>
      <w:ind w:left="0" w:right="0" w:firstLine="0"/>
      <w:contextualSpacing/>
      <w:jc w:val="left"/>
    </w:pPr>
    <w:rPr>
      <w:rFonts w:asciiTheme="majorHAnsi" w:hAnsiTheme="majorHAnsi" w:eastAsiaTheme="majorEastAsia" w:cstheme="majorBidi"/>
      <w:b/>
      <w:color w:val="auto"/>
      <w:spacing w:val="-10"/>
      <w:kern w:val="28"/>
      <w:sz w:val="56"/>
      <w:szCs w:val="56"/>
      <w:lang w:eastAsia="en-US"/>
    </w:rPr>
  </w:style>
  <w:style w:type="character" w:customStyle="1" w:styleId="15">
    <w:name w:val="Heading 1 Char"/>
    <w:basedOn w:val="11"/>
    <w:link w:val="2"/>
    <w:uiPriority w:val="9"/>
    <w:rPr>
      <w:rFonts w:asciiTheme="majorHAnsi" w:hAnsiTheme="majorHAnsi" w:eastAsiaTheme="majorEastAsia" w:cstheme="majorBidi"/>
      <w:color w:val="104862" w:themeColor="accent1" w:themeShade="BF"/>
      <w:sz w:val="40"/>
      <w:szCs w:val="40"/>
    </w:rPr>
  </w:style>
  <w:style w:type="character" w:customStyle="1" w:styleId="16">
    <w:name w:val="Heading 2 Char"/>
    <w:basedOn w:val="11"/>
    <w:link w:val="3"/>
    <w:semiHidden/>
    <w:uiPriority w:val="9"/>
    <w:rPr>
      <w:rFonts w:asciiTheme="majorHAnsi" w:hAnsiTheme="majorHAnsi" w:eastAsiaTheme="majorEastAsia" w:cstheme="majorBidi"/>
      <w:color w:val="104862" w:themeColor="accent1" w:themeShade="BF"/>
      <w:sz w:val="32"/>
      <w:szCs w:val="32"/>
    </w:rPr>
  </w:style>
  <w:style w:type="character" w:customStyle="1" w:styleId="17">
    <w:name w:val="Heading 3 Char"/>
    <w:basedOn w:val="11"/>
    <w:link w:val="4"/>
    <w:semiHidden/>
    <w:uiPriority w:val="9"/>
    <w:rPr>
      <w:rFonts w:asciiTheme="minorHAnsi" w:hAnsiTheme="minorHAnsi" w:eastAsiaTheme="majorEastAsia" w:cstheme="majorBidi"/>
      <w:color w:val="104862" w:themeColor="accent1" w:themeShade="BF"/>
      <w:sz w:val="28"/>
      <w:szCs w:val="28"/>
    </w:rPr>
  </w:style>
  <w:style w:type="character" w:customStyle="1" w:styleId="18">
    <w:name w:val="Heading 4 Char"/>
    <w:basedOn w:val="11"/>
    <w:link w:val="5"/>
    <w:semiHidden/>
    <w:qFormat/>
    <w:uiPriority w:val="9"/>
    <w:rPr>
      <w:rFonts w:asciiTheme="minorHAnsi" w:hAnsiTheme="minorHAnsi" w:eastAsiaTheme="majorEastAsia" w:cstheme="majorBidi"/>
      <w:i/>
      <w:iCs/>
      <w:color w:val="104862" w:themeColor="accent1" w:themeShade="BF"/>
    </w:rPr>
  </w:style>
  <w:style w:type="character" w:customStyle="1" w:styleId="19">
    <w:name w:val="Heading 5 Char"/>
    <w:basedOn w:val="11"/>
    <w:link w:val="6"/>
    <w:semiHidden/>
    <w:uiPriority w:val="9"/>
    <w:rPr>
      <w:rFonts w:asciiTheme="minorHAnsi" w:hAnsiTheme="minorHAnsi" w:eastAsiaTheme="majorEastAsia" w:cstheme="majorBidi"/>
      <w:color w:val="104862" w:themeColor="accent1" w:themeShade="BF"/>
    </w:rPr>
  </w:style>
  <w:style w:type="character" w:customStyle="1" w:styleId="20">
    <w:name w:val="Heading 6 Char"/>
    <w:basedOn w:val="11"/>
    <w:link w:val="7"/>
    <w:semiHidden/>
    <w:uiPriority w:val="9"/>
    <w:rPr>
      <w:rFonts w:asciiTheme="minorHAnsi" w:hAnsiTheme="min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21">
    <w:name w:val="Heading 7 Char"/>
    <w:basedOn w:val="11"/>
    <w:link w:val="8"/>
    <w:semiHidden/>
    <w:uiPriority w:val="9"/>
    <w:rPr>
      <w:rFonts w:asciiTheme="minorHAnsi" w:hAnsiTheme="minorHAnsi"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22">
    <w:name w:val="Heading 8 Char"/>
    <w:basedOn w:val="11"/>
    <w:link w:val="9"/>
    <w:semiHidden/>
    <w:qFormat/>
    <w:uiPriority w:val="9"/>
    <w:rPr>
      <w:rFonts w:asciiTheme="minorHAnsi" w:hAnsiTheme="minorHAnsi" w:eastAsiaTheme="majorEastAsia" w:cstheme="majorBidi"/>
      <w:i/>
      <w:iCs/>
      <w:color w:val="262626" w:themeColor="text1" w:themeTint="D9"/>
      <w14:textFill>
        <w14:solidFill>
          <w14:schemeClr w14:val="tx1">
            <w14:lumMod w14:val="85000"/>
            <w14:lumOff w14:val="15000"/>
          </w14:schemeClr>
        </w14:solidFill>
      </w14:textFill>
    </w:rPr>
  </w:style>
  <w:style w:type="character" w:customStyle="1" w:styleId="23">
    <w:name w:val="Heading 9 Char"/>
    <w:basedOn w:val="11"/>
    <w:link w:val="10"/>
    <w:semiHidden/>
    <w:qFormat/>
    <w:uiPriority w:val="9"/>
    <w:rPr>
      <w:rFonts w:asciiTheme="minorHAnsi" w:hAnsiTheme="minorHAnsi" w:eastAsiaTheme="majorEastAsia" w:cstheme="majorBidi"/>
      <w:color w:val="262626" w:themeColor="text1" w:themeTint="D9"/>
      <w14:textFill>
        <w14:solidFill>
          <w14:schemeClr w14:val="tx1">
            <w14:lumMod w14:val="85000"/>
            <w14:lumOff w14:val="15000"/>
          </w14:schemeClr>
        </w14:solidFill>
      </w14:textFill>
    </w:rPr>
  </w:style>
  <w:style w:type="character" w:customStyle="1" w:styleId="24">
    <w:name w:val="Title Char"/>
    <w:basedOn w:val="11"/>
    <w:link w:val="14"/>
    <w:qFormat/>
    <w:uiPriority w:val="10"/>
    <w:rPr>
      <w:rFonts w:asciiTheme="majorHAnsi" w:hAnsiTheme="majorHAnsi" w:eastAsiaTheme="majorEastAsia" w:cstheme="majorBidi"/>
      <w:spacing w:val="-10"/>
      <w:kern w:val="28"/>
      <w:sz w:val="56"/>
      <w:szCs w:val="56"/>
    </w:rPr>
  </w:style>
  <w:style w:type="character" w:customStyle="1" w:styleId="25">
    <w:name w:val="Subtitle Char"/>
    <w:basedOn w:val="11"/>
    <w:link w:val="13"/>
    <w:qFormat/>
    <w:uiPriority w:val="11"/>
    <w:rPr>
      <w:rFonts w:asciiTheme="minorHAnsi" w:hAnsiTheme="min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26">
    <w:name w:val="Quote"/>
    <w:basedOn w:val="1"/>
    <w:next w:val="1"/>
    <w:link w:val="27"/>
    <w:qFormat/>
    <w:uiPriority w:val="29"/>
    <w:pPr>
      <w:spacing w:before="160" w:after="160" w:line="259" w:lineRule="auto"/>
      <w:ind w:left="0" w:right="0" w:firstLine="0"/>
      <w:jc w:val="center"/>
    </w:pPr>
    <w:rPr>
      <w:rFonts w:ascii="Calibri" w:hAnsi="Calibri" w:cs="Calibri" w:eastAsiaTheme="minorHAnsi"/>
      <w:b/>
      <w:i/>
      <w:iCs/>
      <w:color w:val="404040" w:themeColor="text1" w:themeTint="BF"/>
      <w:lang w:eastAsia="en-US"/>
      <w14:textFill>
        <w14:solidFill>
          <w14:schemeClr w14:val="tx1">
            <w14:lumMod w14:val="75000"/>
            <w14:lumOff w14:val="25000"/>
          </w14:schemeClr>
        </w14:solidFill>
      </w14:textFill>
    </w:rPr>
  </w:style>
  <w:style w:type="character" w:customStyle="1" w:styleId="27">
    <w:name w:val="Quote Char"/>
    <w:basedOn w:val="11"/>
    <w:link w:val="26"/>
    <w:uiPriority w:val="29"/>
    <w:rPr>
      <w:i/>
      <w:iCs/>
      <w:color w:val="404040" w:themeColor="text1" w:themeTint="BF"/>
      <w14:textFill>
        <w14:solidFill>
          <w14:schemeClr w14:val="tx1">
            <w14:lumMod w14:val="75000"/>
            <w14:lumOff w14:val="25000"/>
          </w14:schemeClr>
        </w14:solidFill>
      </w14:textFill>
    </w:rPr>
  </w:style>
  <w:style w:type="paragraph" w:styleId="28">
    <w:name w:val="List Paragraph"/>
    <w:basedOn w:val="1"/>
    <w:qFormat/>
    <w:uiPriority w:val="34"/>
    <w:pPr>
      <w:spacing w:after="160" w:line="259" w:lineRule="auto"/>
      <w:ind w:left="720" w:right="0" w:firstLine="0"/>
      <w:contextualSpacing/>
      <w:jc w:val="left"/>
    </w:pPr>
    <w:rPr>
      <w:rFonts w:ascii="Calibri" w:hAnsi="Calibri" w:cs="Calibri" w:eastAsiaTheme="minorHAnsi"/>
      <w:b/>
      <w:color w:val="auto"/>
      <w:lang w:eastAsia="en-US"/>
    </w:rPr>
  </w:style>
  <w:style w:type="character" w:customStyle="1" w:styleId="29">
    <w:name w:val="Intense Emphasis"/>
    <w:basedOn w:val="11"/>
    <w:qFormat/>
    <w:uiPriority w:val="21"/>
    <w:rPr>
      <w:i/>
      <w:iCs/>
      <w:color w:val="104862" w:themeColor="accent1" w:themeShade="BF"/>
    </w:rPr>
  </w:style>
  <w:style w:type="paragraph" w:styleId="30">
    <w:name w:val="Intense Quote"/>
    <w:basedOn w:val="1"/>
    <w:next w:val="1"/>
    <w:link w:val="31"/>
    <w:qFormat/>
    <w:uiPriority w:val="30"/>
    <w:pPr>
      <w:pBdr>
        <w:top w:val="single" w:color="0F4761" w:themeColor="accent1" w:themeShade="BF" w:sz="4" w:space="10"/>
        <w:bottom w:val="single" w:color="0F4761" w:themeColor="accent1" w:themeShade="BF" w:sz="4" w:space="10"/>
      </w:pBdr>
      <w:spacing w:before="360" w:after="360" w:line="259" w:lineRule="auto"/>
      <w:ind w:left="864" w:right="864" w:firstLine="0"/>
      <w:jc w:val="center"/>
    </w:pPr>
    <w:rPr>
      <w:rFonts w:ascii="Calibri" w:hAnsi="Calibri" w:cs="Calibri" w:eastAsiaTheme="minorHAnsi"/>
      <w:b/>
      <w:i/>
      <w:iCs/>
      <w:color w:val="104862" w:themeColor="accent1" w:themeShade="BF"/>
      <w:lang w:eastAsia="en-US"/>
    </w:rPr>
  </w:style>
  <w:style w:type="character" w:customStyle="1" w:styleId="31">
    <w:name w:val="Intense Quote Char"/>
    <w:basedOn w:val="11"/>
    <w:link w:val="30"/>
    <w:uiPriority w:val="30"/>
    <w:rPr>
      <w:i/>
      <w:iCs/>
      <w:color w:val="104862" w:themeColor="accent1" w:themeShade="BF"/>
    </w:rPr>
  </w:style>
  <w:style w:type="character" w:customStyle="1" w:styleId="32">
    <w:name w:val="Intense Reference"/>
    <w:basedOn w:val="11"/>
    <w:qFormat/>
    <w:uiPriority w:val="32"/>
    <w:rPr>
      <w:bCs/>
      <w:smallCaps/>
      <w:color w:val="104862" w:themeColor="accent1" w:themeShade="BF"/>
      <w:spacing w:val="5"/>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536</Words>
  <Characters>2896</Characters>
  <Lines>24</Lines>
  <Paragraphs>6</Paragraphs>
  <TotalTime>8</TotalTime>
  <ScaleCrop>false</ScaleCrop>
  <LinksUpToDate>false</LinksUpToDate>
  <CharactersWithSpaces>3426</CharactersWithSpaces>
  <Application>WPS Office_12.2.0.13538_F1E327BC-269C-435d-A152-05C5408002CA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2024-04-02T06:50:00Z</dcterms:created>
  <dc:creator>MARIA AGIASMENAKI</dc:creator>
  <cp:lastModifiedBy>DSX DSX</cp:lastModifiedBy>
  <dcterms:modified xsi:type="dcterms:W3CDTF">2024-04-02T07:33:21Z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1033-12.2.0.13538</vt:lpwstr>
  </property>
  <property fmtid="{D5CDD505-2E9C-101B-9397-08002B2CF9AE}" pid="3" name="ICV">
    <vt:lpwstr>7B11580C2AD3454883FCB946CA32AA78_13</vt:lpwstr>
  </property>
</Properties>
</file>